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926B" w14:textId="0661EC97" w:rsidR="000A52CF" w:rsidRPr="000A52CF" w:rsidRDefault="000A52CF" w:rsidP="000A52CF">
      <w:pPr>
        <w:pStyle w:val="a3"/>
        <w:tabs>
          <w:tab w:val="right" w:pos="9639"/>
        </w:tabs>
        <w:rPr>
          <w:rFonts w:eastAsia="MS Mincho"/>
          <w:noProof w:val="0"/>
          <w:sz w:val="24"/>
          <w:szCs w:val="24"/>
          <w:lang w:val="en-GB" w:eastAsia="en-GB"/>
        </w:rPr>
      </w:pPr>
      <w:r w:rsidRPr="000A52CF">
        <w:rPr>
          <w:rFonts w:eastAsia="MS Mincho"/>
          <w:noProof w:val="0"/>
          <w:sz w:val="24"/>
          <w:szCs w:val="24"/>
          <w:lang w:val="en-GB" w:eastAsia="en-GB"/>
        </w:rPr>
        <w:t>3GPP TSG-RAN WG2 Meeting #123bis</w:t>
      </w:r>
      <w:r w:rsidRPr="000A52CF">
        <w:rPr>
          <w:rFonts w:eastAsia="MS Mincho"/>
          <w:noProof w:val="0"/>
          <w:sz w:val="24"/>
          <w:szCs w:val="24"/>
          <w:lang w:val="en-GB" w:eastAsia="en-GB"/>
        </w:rPr>
        <w:tab/>
      </w:r>
      <w:r w:rsidR="00F141BB" w:rsidRPr="00F141BB">
        <w:rPr>
          <w:rFonts w:eastAsia="MS Mincho"/>
          <w:noProof w:val="0"/>
          <w:sz w:val="24"/>
          <w:szCs w:val="24"/>
          <w:lang w:val="en-GB" w:eastAsia="en-GB"/>
        </w:rPr>
        <w:t>R2-230995</w:t>
      </w:r>
      <w:r w:rsidR="00F141BB">
        <w:rPr>
          <w:rFonts w:eastAsia="MS Mincho"/>
          <w:noProof w:val="0"/>
          <w:sz w:val="24"/>
          <w:szCs w:val="24"/>
          <w:lang w:val="en-GB" w:eastAsia="en-GB"/>
        </w:rPr>
        <w:t>8</w:t>
      </w:r>
    </w:p>
    <w:p w14:paraId="4AA29EF9" w14:textId="19AF0238" w:rsidR="00934AFD" w:rsidRPr="001C7FAA" w:rsidRDefault="000A52CF" w:rsidP="000A52CF">
      <w:pPr>
        <w:pStyle w:val="a3"/>
        <w:tabs>
          <w:tab w:val="right" w:pos="9639"/>
        </w:tabs>
        <w:jc w:val="both"/>
        <w:rPr>
          <w:rFonts w:cs="Arial"/>
          <w:b w:val="0"/>
          <w:bCs/>
          <w:i/>
          <w:iCs/>
          <w:sz w:val="24"/>
          <w:lang w:eastAsia="zh-CN"/>
        </w:rPr>
      </w:pPr>
      <w:r w:rsidRPr="000A52CF">
        <w:rPr>
          <w:rFonts w:eastAsia="MS Mincho"/>
          <w:noProof w:val="0"/>
          <w:sz w:val="24"/>
          <w:szCs w:val="24"/>
          <w:lang w:val="en-GB" w:eastAsia="en-GB"/>
        </w:rPr>
        <w:t>Xiamen, China, October 9th – 13th, 2023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4028D11"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.6.</w:t>
      </w:r>
      <w:r w:rsidR="00F30092">
        <w:rPr>
          <w:rFonts w:eastAsia="宋体" w:cs="Arial"/>
          <w:b/>
          <w:bCs/>
          <w:kern w:val="2"/>
          <w:sz w:val="24"/>
          <w:szCs w:val="22"/>
          <w:lang w:val="en-US" w:eastAsia="zh-CN"/>
        </w:rPr>
        <w:t>3</w:t>
      </w:r>
      <w:r w:rsidR="008D2395">
        <w:rPr>
          <w:rFonts w:eastAsia="宋体" w:cs="Arial"/>
          <w:b/>
          <w:bCs/>
          <w:kern w:val="2"/>
          <w:sz w:val="24"/>
          <w:szCs w:val="22"/>
          <w:lang w:val="en-US" w:eastAsia="zh-CN"/>
        </w:rPr>
        <w:t>.1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692638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66D12" w:rsidRPr="00166D12">
        <w:rPr>
          <w:rFonts w:ascii="Arial" w:hAnsi="Arial" w:cs="Arial"/>
          <w:b/>
          <w:bCs/>
          <w:sz w:val="24"/>
        </w:rPr>
        <w:t xml:space="preserve">Views on some remaining issues </w:t>
      </w:r>
      <w:r w:rsidR="00E75C82" w:rsidRPr="00E75C82">
        <w:rPr>
          <w:rFonts w:ascii="Arial" w:hAnsi="Arial" w:cs="Arial"/>
          <w:b/>
          <w:bCs/>
          <w:sz w:val="24"/>
        </w:rPr>
        <w:t xml:space="preserve">for </w:t>
      </w:r>
      <w:r w:rsidR="00F30092">
        <w:rPr>
          <w:rFonts w:ascii="Arial" w:hAnsi="Arial" w:cs="Arial"/>
          <w:b/>
          <w:bCs/>
          <w:sz w:val="24"/>
        </w:rPr>
        <w:t>mobility</w:t>
      </w:r>
      <w:r w:rsidR="00E75C82" w:rsidRPr="00E75C82">
        <w:rPr>
          <w:rFonts w:ascii="Arial" w:hAnsi="Arial" w:cs="Arial"/>
          <w:b/>
          <w:bCs/>
          <w:sz w:val="24"/>
        </w:rPr>
        <w:t xml:space="preserve"> in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64C1BEBD" w:rsidR="007929E8" w:rsidRDefault="00933548" w:rsidP="005C389C">
      <w:pPr>
        <w:rPr>
          <w:rFonts w:ascii="Times New Roman" w:hAnsi="Times New Roman"/>
          <w:sz w:val="22"/>
        </w:rPr>
      </w:pPr>
      <w:r>
        <w:rPr>
          <w:rFonts w:ascii="Times New Roman" w:hAnsi="Times New Roman" w:hint="eastAsia"/>
          <w:sz w:val="22"/>
        </w:rPr>
        <w:t>The</w:t>
      </w:r>
      <w:r>
        <w:rPr>
          <w:rFonts w:ascii="Times New Roman" w:hAnsi="Times New Roman"/>
          <w:sz w:val="22"/>
        </w:rPr>
        <w:t xml:space="preserve"> </w:t>
      </w:r>
      <w:r>
        <w:rPr>
          <w:rFonts w:ascii="Times New Roman" w:hAnsi="Times New Roman" w:hint="eastAsia"/>
          <w:sz w:val="22"/>
        </w:rPr>
        <w:t>latest</w:t>
      </w:r>
      <w:r>
        <w:rPr>
          <w:rFonts w:ascii="Times New Roman" w:hAnsi="Times New Roman"/>
          <w:sz w:val="22"/>
        </w:rPr>
        <w:t xml:space="preserve"> </w:t>
      </w:r>
      <w:r w:rsidR="007929E8">
        <w:rPr>
          <w:rFonts w:ascii="Times New Roman" w:hAnsi="Times New Roman"/>
          <w:sz w:val="22"/>
        </w:rPr>
        <w:t>RAN2#12</w:t>
      </w:r>
      <w:r w:rsidR="00E75C82">
        <w:rPr>
          <w:rFonts w:ascii="Times New Roman" w:hAnsi="Times New Roman"/>
          <w:sz w:val="22"/>
        </w:rPr>
        <w:t>3</w:t>
      </w:r>
      <w:r>
        <w:rPr>
          <w:rFonts w:ascii="Times New Roman" w:hAnsi="Times New Roman"/>
          <w:sz w:val="22"/>
        </w:rPr>
        <w:t xml:space="preserve"> </w:t>
      </w:r>
      <w:r>
        <w:rPr>
          <w:rFonts w:ascii="Times New Roman" w:hAnsi="Times New Roman" w:hint="eastAsia"/>
          <w:sz w:val="22"/>
        </w:rPr>
        <w:t>meeting</w:t>
      </w:r>
      <w:r w:rsidR="007929E8">
        <w:rPr>
          <w:rFonts w:ascii="Times New Roman" w:hAnsi="Times New Roman"/>
          <w:sz w:val="22"/>
        </w:rPr>
        <w:t xml:space="preserve"> made the following agreements regarding </w:t>
      </w:r>
      <w:r w:rsidR="00B30632">
        <w:rPr>
          <w:rFonts w:ascii="Times New Roman" w:hAnsi="Times New Roman"/>
          <w:sz w:val="22"/>
        </w:rPr>
        <w:t>mobility</w:t>
      </w:r>
      <w:r w:rsidR="00DA76E6">
        <w:rPr>
          <w:rFonts w:ascii="Times New Roman" w:hAnsi="Times New Roman"/>
          <w:sz w:val="22"/>
        </w:rPr>
        <w:t xml:space="preserve"> in </w:t>
      </w:r>
      <w:r w:rsidR="00DA76E6">
        <w:rPr>
          <w:rFonts w:ascii="Times New Roman" w:hAnsi="Times New Roman" w:hint="eastAsia"/>
          <w:sz w:val="22"/>
        </w:rPr>
        <w:t>IoT</w:t>
      </w:r>
      <w:r w:rsidR="00DA76E6">
        <w:rPr>
          <w:rFonts w:ascii="Times New Roman" w:hAnsi="Times New Roman"/>
          <w:sz w:val="22"/>
        </w:rPr>
        <w:t xml:space="preserve"> </w:t>
      </w:r>
      <w:r w:rsidR="00DA76E6">
        <w:rPr>
          <w:rFonts w:ascii="Times New Roman" w:hAnsi="Times New Roman" w:hint="eastAsia"/>
          <w:sz w:val="22"/>
        </w:rPr>
        <w:t>NTN</w:t>
      </w:r>
      <w:r w:rsidR="00DA76E6">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77777777" w:rsidR="00673F36" w:rsidRPr="00673F36" w:rsidRDefault="00673F36" w:rsidP="005C389C">
            <w:pPr>
              <w:rPr>
                <w:rFonts w:ascii="Times New Roman" w:hAnsi="Times New Roman"/>
                <w:sz w:val="22"/>
                <w:lang w:val="en-GB"/>
              </w:rPr>
            </w:pPr>
            <w:r w:rsidRPr="00673F36">
              <w:rPr>
                <w:rFonts w:ascii="Times New Roman" w:hAnsi="Times New Roman"/>
                <w:sz w:val="22"/>
                <w:lang w:val="en-GB"/>
              </w:rPr>
              <w:t>Agreements:</w:t>
            </w:r>
          </w:p>
          <w:p w14:paraId="2AEC441A" w14:textId="77777777" w:rsidR="00A400CC" w:rsidRPr="00A400CC" w:rsidRDefault="00A400CC" w:rsidP="00A400CC">
            <w:pPr>
              <w:rPr>
                <w:rFonts w:ascii="Times New Roman" w:hAnsi="Times New Roman"/>
                <w:sz w:val="22"/>
                <w:lang w:val="en-GB"/>
              </w:rPr>
            </w:pPr>
            <w:r w:rsidRPr="00A400CC">
              <w:rPr>
                <w:rFonts w:ascii="Times New Roman" w:hAnsi="Times New Roman"/>
                <w:sz w:val="22"/>
                <w:lang w:val="en-GB"/>
              </w:rPr>
              <w:t>1.</w:t>
            </w:r>
            <w:r w:rsidRPr="00A400CC">
              <w:rPr>
                <w:rFonts w:ascii="Times New Roman" w:hAnsi="Times New Roman"/>
                <w:sz w:val="22"/>
                <w:lang w:val="en-GB"/>
              </w:rPr>
              <w:tab/>
              <w:t>For eMTC, the new SIB (SIBxx) is not an essential SIB. UE does not need to consider the cell barred if it is unable to acquire the SIB when scheduled.</w:t>
            </w:r>
          </w:p>
          <w:p w14:paraId="44FD5769" w14:textId="77777777" w:rsidR="00A400CC" w:rsidRPr="00A400CC" w:rsidRDefault="00A400CC" w:rsidP="00A400CC">
            <w:pPr>
              <w:rPr>
                <w:rFonts w:ascii="Times New Roman" w:hAnsi="Times New Roman"/>
                <w:sz w:val="22"/>
                <w:lang w:val="en-GB"/>
              </w:rPr>
            </w:pPr>
            <w:r w:rsidRPr="00A400CC">
              <w:rPr>
                <w:rFonts w:ascii="Times New Roman" w:hAnsi="Times New Roman"/>
                <w:sz w:val="22"/>
                <w:lang w:val="en-GB"/>
              </w:rPr>
              <w:t>2.</w:t>
            </w:r>
            <w:r w:rsidRPr="00A400CC">
              <w:rPr>
                <w:rFonts w:ascii="Times New Roman" w:hAnsi="Times New Roman"/>
                <w:sz w:val="22"/>
                <w:lang w:val="en-GB"/>
              </w:rPr>
              <w:tab/>
              <w:t>RAN2 will not consider to include cell stop time of neighbor cell in the new SIB (SIBxx) in this release.</w:t>
            </w:r>
          </w:p>
          <w:p w14:paraId="460F394D" w14:textId="77777777" w:rsidR="00A400CC" w:rsidRPr="00A400CC" w:rsidRDefault="00A400CC" w:rsidP="00A400CC">
            <w:pPr>
              <w:rPr>
                <w:rFonts w:ascii="Times New Roman" w:hAnsi="Times New Roman"/>
                <w:sz w:val="22"/>
                <w:lang w:val="en-GB"/>
              </w:rPr>
            </w:pPr>
            <w:r w:rsidRPr="00A400CC">
              <w:rPr>
                <w:rFonts w:ascii="Times New Roman" w:hAnsi="Times New Roman"/>
                <w:sz w:val="22"/>
                <w:lang w:val="en-GB"/>
              </w:rPr>
              <w:t>3.</w:t>
            </w:r>
            <w:r w:rsidRPr="00A400CC">
              <w:rPr>
                <w:rFonts w:ascii="Times New Roman" w:hAnsi="Times New Roman"/>
                <w:sz w:val="22"/>
                <w:lang w:val="en-GB"/>
              </w:rPr>
              <w:tab/>
              <w:t>for NB-IoT NTN, location-based measurement initiation can also be optionally used in RRC_IDLE for cell re-selection purposes (like in NR-NTN), with the assumption that it is up to the UE to update GNSS location.</w:t>
            </w:r>
          </w:p>
          <w:p w14:paraId="511616DD" w14:textId="77777777" w:rsidR="00A400CC" w:rsidRPr="00A400CC" w:rsidRDefault="00A400CC" w:rsidP="00A400CC">
            <w:pPr>
              <w:rPr>
                <w:rFonts w:ascii="Times New Roman" w:hAnsi="Times New Roman"/>
                <w:sz w:val="22"/>
                <w:lang w:val="en-GB"/>
              </w:rPr>
            </w:pPr>
            <w:r w:rsidRPr="00A400CC">
              <w:rPr>
                <w:rFonts w:ascii="Times New Roman" w:hAnsi="Times New Roman"/>
                <w:sz w:val="22"/>
                <w:lang w:val="en-GB"/>
              </w:rPr>
              <w:t>4.</w:t>
            </w:r>
            <w:r w:rsidRPr="00A400CC">
              <w:rPr>
                <w:rFonts w:ascii="Times New Roman" w:hAnsi="Times New Roman"/>
                <w:sz w:val="22"/>
                <w:lang w:val="en-GB"/>
              </w:rPr>
              <w:tab/>
              <w:t>validity duration is optional, and if this field is absent, the UE uses validity duration from the serving cell</w:t>
            </w:r>
          </w:p>
          <w:p w14:paraId="5777F899" w14:textId="77777777" w:rsidR="00A400CC" w:rsidRPr="00A400CC" w:rsidRDefault="00A400CC" w:rsidP="00A400CC">
            <w:pPr>
              <w:rPr>
                <w:rFonts w:ascii="Times New Roman" w:hAnsi="Times New Roman"/>
                <w:sz w:val="22"/>
                <w:lang w:val="en-GB"/>
              </w:rPr>
            </w:pPr>
            <w:r w:rsidRPr="00A400CC">
              <w:rPr>
                <w:rFonts w:ascii="Times New Roman" w:hAnsi="Times New Roman"/>
                <w:sz w:val="22"/>
                <w:lang w:val="en-GB"/>
              </w:rPr>
              <w:t>5.</w:t>
            </w:r>
            <w:r w:rsidRPr="00A400CC">
              <w:rPr>
                <w:rFonts w:ascii="Times New Roman" w:hAnsi="Times New Roman"/>
                <w:sz w:val="22"/>
                <w:lang w:val="en-GB"/>
              </w:rPr>
              <w:tab/>
              <w:t>For re-acquisition of SIBXX the UE may rely on T317/T318 in connected mode</w:t>
            </w:r>
          </w:p>
          <w:p w14:paraId="66B64218" w14:textId="3088D708" w:rsidR="00DA76E6" w:rsidRPr="00673F36" w:rsidRDefault="00A400CC" w:rsidP="00A400CC">
            <w:pPr>
              <w:rPr>
                <w:rFonts w:ascii="Times New Roman" w:hAnsi="Times New Roman"/>
                <w:sz w:val="22"/>
                <w:lang w:val="en-GB"/>
              </w:rPr>
            </w:pPr>
            <w:r w:rsidRPr="00A400CC">
              <w:rPr>
                <w:rFonts w:ascii="Times New Roman" w:hAnsi="Times New Roman"/>
                <w:sz w:val="22"/>
                <w:lang w:val="en-GB"/>
              </w:rPr>
              <w:t>6.</w:t>
            </w:r>
            <w:r w:rsidRPr="00A400CC">
              <w:rPr>
                <w:rFonts w:ascii="Times New Roman" w:hAnsi="Times New Roman"/>
                <w:sz w:val="22"/>
                <w:lang w:val="en-GB"/>
              </w:rPr>
              <w:tab/>
              <w:t>For CHO in NTN (both NR NTN and eMTC NTN, time and location-based trigger conditions may be configured independently (i.e., without a jointly configured measurement condition). We add a description/note saying in which scenarios this is reasonable, e.g. at least hard-switch case where gap is assumed to be zero/negligible</w:t>
            </w:r>
          </w:p>
        </w:tc>
      </w:tr>
    </w:tbl>
    <w:p w14:paraId="6DA7073D" w14:textId="268282FF" w:rsidR="009B4F09" w:rsidRPr="00671CC7"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681CE2">
        <w:rPr>
          <w:rFonts w:ascii="Times New Roman" w:hAnsi="Times New Roman"/>
          <w:sz w:val="22"/>
        </w:rPr>
        <w:t xml:space="preserve">further </w:t>
      </w:r>
      <w:r w:rsidR="00994170" w:rsidRPr="00671CC7">
        <w:rPr>
          <w:rFonts w:ascii="Times New Roman" w:hAnsi="Times New Roman"/>
          <w:sz w:val="22"/>
        </w:rPr>
        <w:t xml:space="preserve">discuss </w:t>
      </w:r>
      <w:r w:rsidR="00673F36">
        <w:rPr>
          <w:rFonts w:ascii="Times New Roman" w:hAnsi="Times New Roman" w:hint="eastAsia"/>
          <w:sz w:val="22"/>
        </w:rPr>
        <w:t>s</w:t>
      </w:r>
      <w:r w:rsidR="00673F36">
        <w:rPr>
          <w:rFonts w:ascii="Times New Roman" w:hAnsi="Times New Roman"/>
          <w:sz w:val="22"/>
        </w:rPr>
        <w:t xml:space="preserve">ome </w:t>
      </w:r>
      <w:r w:rsidR="00673F36">
        <w:rPr>
          <w:rFonts w:ascii="Times New Roman" w:hAnsi="Times New Roman" w:hint="eastAsia"/>
          <w:sz w:val="22"/>
        </w:rPr>
        <w:t>remaining</w:t>
      </w:r>
      <w:r w:rsidR="00681CE2" w:rsidRPr="00671CC7">
        <w:rPr>
          <w:rFonts w:ascii="Times New Roman" w:hAnsi="Times New Roman"/>
          <w:sz w:val="22"/>
        </w:rPr>
        <w:t xml:space="preserve"> </w:t>
      </w:r>
      <w:r w:rsidR="005E14DC" w:rsidRPr="00671CC7">
        <w:rPr>
          <w:rFonts w:ascii="Times New Roman" w:hAnsi="Times New Roman"/>
          <w:sz w:val="22"/>
        </w:rPr>
        <w:t xml:space="preserve">issues </w:t>
      </w:r>
      <w:r w:rsidR="000D421C">
        <w:rPr>
          <w:rFonts w:ascii="Times New Roman" w:hAnsi="Times New Roman"/>
          <w:sz w:val="22"/>
        </w:rPr>
        <w:t xml:space="preserve">in </w:t>
      </w:r>
      <w:r w:rsidR="008D2395">
        <w:rPr>
          <w:rFonts w:ascii="Times New Roman" w:hAnsi="Times New Roman" w:hint="eastAsia"/>
          <w:sz w:val="22"/>
        </w:rPr>
        <w:t>mobility</w:t>
      </w:r>
      <w:r w:rsidR="007D7F5B">
        <w:rPr>
          <w:rFonts w:ascii="Times New Roman" w:hAnsi="Times New Roman"/>
          <w:sz w:val="22"/>
        </w:rPr>
        <w:t xml:space="preserve"> </w:t>
      </w:r>
      <w:r w:rsidR="008D2D85">
        <w:rPr>
          <w:rFonts w:ascii="Times New Roman" w:hAnsi="Times New Roman"/>
          <w:sz w:val="22"/>
        </w:rPr>
        <w:t xml:space="preserve">based on </w:t>
      </w:r>
      <w:r w:rsidR="000D421C">
        <w:rPr>
          <w:rFonts w:ascii="Times New Roman" w:hAnsi="Times New Roman"/>
          <w:sz w:val="22"/>
        </w:rPr>
        <w:t>previous discussions and</w:t>
      </w:r>
      <w:r w:rsidR="008D2D85">
        <w:rPr>
          <w:rFonts w:ascii="Times New Roman" w:hAnsi="Times New Roman"/>
          <w:sz w:val="22"/>
        </w:rPr>
        <w:t xml:space="preserve"> agreements</w:t>
      </w:r>
      <w:r w:rsidRPr="00671CC7">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5312D52" w14:textId="5DB7EA45" w:rsidR="00866DE8" w:rsidRDefault="00DD5623" w:rsidP="005C389C">
      <w:pPr>
        <w:outlineLvl w:val="1"/>
        <w:rPr>
          <w:rFonts w:ascii="Times New Roman" w:hAnsi="Times New Roman"/>
          <w:b/>
          <w:bCs/>
          <w:sz w:val="22"/>
          <w:u w:val="single"/>
        </w:rPr>
      </w:pPr>
      <w:r>
        <w:rPr>
          <w:rFonts w:ascii="Times New Roman" w:hAnsi="Times New Roman"/>
          <w:b/>
          <w:bCs/>
          <w:sz w:val="22"/>
          <w:u w:val="single"/>
        </w:rPr>
        <w:t xml:space="preserve">Start serving time of neighbour </w:t>
      </w:r>
      <w:proofErr w:type="gramStart"/>
      <w:r>
        <w:rPr>
          <w:rFonts w:ascii="Times New Roman" w:hAnsi="Times New Roman"/>
          <w:b/>
          <w:bCs/>
          <w:sz w:val="22"/>
          <w:u w:val="single"/>
        </w:rPr>
        <w:t>cell</w:t>
      </w:r>
      <w:proofErr w:type="gramEnd"/>
    </w:p>
    <w:p w14:paraId="590016C5" w14:textId="2FCC0A79" w:rsidR="00866DE8" w:rsidRDefault="00F279A1" w:rsidP="005C389C">
      <w:pPr>
        <w:rPr>
          <w:rFonts w:ascii="Times New Roman" w:hAnsi="Times New Roman"/>
          <w:sz w:val="22"/>
        </w:rPr>
      </w:pPr>
      <w:r>
        <w:rPr>
          <w:rFonts w:ascii="Times New Roman" w:hAnsi="Times New Roman"/>
          <w:sz w:val="22"/>
        </w:rPr>
        <w:t xml:space="preserve">During the discussion on the </w:t>
      </w:r>
      <w:r w:rsidRPr="00F279A1">
        <w:rPr>
          <w:rFonts w:ascii="Times New Roman" w:hAnsi="Times New Roman"/>
          <w:i/>
          <w:iCs/>
          <w:sz w:val="22"/>
        </w:rPr>
        <w:t>t-ServiceStartNeigh</w:t>
      </w:r>
      <w:r>
        <w:rPr>
          <w:rFonts w:ascii="Times New Roman" w:hAnsi="Times New Roman"/>
          <w:sz w:val="22"/>
        </w:rPr>
        <w:t xml:space="preserve"> in SIBxx, an issue was raised that whether it shall be per cell or per frequency/satellite. The option of per cell is straight-forward and has been supported by majority while other prefers the option of per frequency/satellite due to that the time is used to indicate UE to start measure on specific frequencies. In our understanding both options are workable and thus a down-selection can be made. Meanwhile for each option, the definition of </w:t>
      </w:r>
      <w:r w:rsidRPr="00F279A1">
        <w:rPr>
          <w:rFonts w:ascii="Times New Roman" w:hAnsi="Times New Roman"/>
          <w:i/>
          <w:iCs/>
          <w:sz w:val="22"/>
        </w:rPr>
        <w:t>t-ServiceStartNeigh</w:t>
      </w:r>
      <w:r>
        <w:rPr>
          <w:rFonts w:ascii="Times New Roman" w:hAnsi="Times New Roman"/>
          <w:sz w:val="22"/>
        </w:rPr>
        <w:t xml:space="preserve"> could be different and shall be specified.</w:t>
      </w:r>
    </w:p>
    <w:p w14:paraId="7BB77FB9" w14:textId="14BF36E3" w:rsidR="00C21B5F" w:rsidRPr="00F279A1" w:rsidRDefault="00C21B5F" w:rsidP="00C21B5F">
      <w:pPr>
        <w:rPr>
          <w:rFonts w:ascii="Times New Roman" w:hAnsi="Times New Roman"/>
          <w:b/>
          <w:bCs/>
          <w:sz w:val="22"/>
        </w:rPr>
      </w:pPr>
      <w:r w:rsidRPr="00F279A1">
        <w:rPr>
          <w:rFonts w:ascii="Times New Roman" w:hAnsi="Times New Roman"/>
          <w:b/>
          <w:bCs/>
          <w:sz w:val="22"/>
        </w:rPr>
        <w:t xml:space="preserve">Proposal 1a: </w:t>
      </w:r>
      <w:r w:rsidRPr="00F279A1">
        <w:rPr>
          <w:rFonts w:ascii="Times New Roman" w:hAnsi="Times New Roman"/>
          <w:b/>
          <w:bCs/>
          <w:i/>
          <w:iCs/>
          <w:sz w:val="22"/>
        </w:rPr>
        <w:t>t-ServiceStartNeigh</w:t>
      </w:r>
      <w:r w:rsidRPr="00F279A1">
        <w:rPr>
          <w:rFonts w:ascii="Times New Roman" w:hAnsi="Times New Roman"/>
          <w:b/>
          <w:bCs/>
          <w:sz w:val="22"/>
        </w:rPr>
        <w:t xml:space="preserve"> </w:t>
      </w:r>
      <w:r w:rsidR="00F279A1" w:rsidRPr="00F279A1">
        <w:rPr>
          <w:rFonts w:ascii="Times New Roman" w:hAnsi="Times New Roman"/>
          <w:b/>
          <w:bCs/>
          <w:sz w:val="22"/>
        </w:rPr>
        <w:t xml:space="preserve">in SIBxx </w:t>
      </w:r>
      <w:r w:rsidRPr="00F279A1">
        <w:rPr>
          <w:rFonts w:ascii="Times New Roman" w:hAnsi="Times New Roman"/>
          <w:b/>
          <w:bCs/>
          <w:sz w:val="22"/>
        </w:rPr>
        <w:t xml:space="preserve">is per neighbour cell, </w:t>
      </w:r>
      <w:r w:rsidR="00F279A1" w:rsidRPr="00F279A1">
        <w:rPr>
          <w:rFonts w:ascii="Times New Roman" w:hAnsi="Times New Roman"/>
          <w:b/>
          <w:bCs/>
          <w:sz w:val="22"/>
        </w:rPr>
        <w:t xml:space="preserve">and </w:t>
      </w:r>
      <w:r w:rsidRPr="00F279A1">
        <w:rPr>
          <w:rFonts w:ascii="Times New Roman" w:hAnsi="Times New Roman"/>
          <w:b/>
          <w:bCs/>
          <w:sz w:val="22"/>
        </w:rPr>
        <w:t xml:space="preserve">it is </w:t>
      </w:r>
      <w:r w:rsidR="00DD5623">
        <w:rPr>
          <w:rFonts w:ascii="Times New Roman" w:hAnsi="Times New Roman"/>
          <w:b/>
          <w:bCs/>
          <w:sz w:val="22"/>
        </w:rPr>
        <w:t xml:space="preserve">defined as </w:t>
      </w:r>
      <w:r w:rsidRPr="00F279A1">
        <w:rPr>
          <w:rFonts w:ascii="Times New Roman" w:hAnsi="Times New Roman"/>
          <w:b/>
          <w:bCs/>
          <w:sz w:val="22"/>
        </w:rPr>
        <w:t>the starting time of the corresponding neighbour cell.</w:t>
      </w:r>
    </w:p>
    <w:p w14:paraId="49ABD30B" w14:textId="51FDE07E" w:rsidR="00C21B5F" w:rsidRPr="00F279A1" w:rsidRDefault="00C21B5F" w:rsidP="00C21B5F">
      <w:pPr>
        <w:rPr>
          <w:rFonts w:ascii="Times New Roman" w:hAnsi="Times New Roman"/>
          <w:b/>
          <w:bCs/>
          <w:sz w:val="22"/>
        </w:rPr>
      </w:pPr>
      <w:r w:rsidRPr="00F279A1">
        <w:rPr>
          <w:rFonts w:ascii="Times New Roman" w:hAnsi="Times New Roman"/>
          <w:b/>
          <w:bCs/>
          <w:sz w:val="22"/>
        </w:rPr>
        <w:t xml:space="preserve">Proposal 1b: </w:t>
      </w:r>
      <w:r w:rsidRPr="00F279A1">
        <w:rPr>
          <w:rFonts w:ascii="Times New Roman" w:hAnsi="Times New Roman"/>
          <w:b/>
          <w:bCs/>
          <w:i/>
          <w:iCs/>
          <w:sz w:val="22"/>
        </w:rPr>
        <w:t>t-ServiceStartNeigh</w:t>
      </w:r>
      <w:r w:rsidRPr="00F279A1">
        <w:rPr>
          <w:rFonts w:ascii="Times New Roman" w:hAnsi="Times New Roman"/>
          <w:b/>
          <w:bCs/>
          <w:sz w:val="22"/>
        </w:rPr>
        <w:t xml:space="preserve"> </w:t>
      </w:r>
      <w:r w:rsidR="00F279A1" w:rsidRPr="00F279A1">
        <w:rPr>
          <w:rFonts w:ascii="Times New Roman" w:hAnsi="Times New Roman"/>
          <w:b/>
          <w:bCs/>
          <w:sz w:val="22"/>
        </w:rPr>
        <w:t xml:space="preserve">in SIBxx </w:t>
      </w:r>
      <w:r w:rsidRPr="00F279A1">
        <w:rPr>
          <w:rFonts w:ascii="Times New Roman" w:hAnsi="Times New Roman"/>
          <w:b/>
          <w:bCs/>
          <w:sz w:val="22"/>
        </w:rPr>
        <w:t xml:space="preserve">is per frequency/satellite, </w:t>
      </w:r>
      <w:r w:rsidR="00F279A1" w:rsidRPr="00F279A1">
        <w:rPr>
          <w:rFonts w:ascii="Times New Roman" w:hAnsi="Times New Roman"/>
          <w:b/>
          <w:bCs/>
          <w:sz w:val="22"/>
        </w:rPr>
        <w:t xml:space="preserve">and </w:t>
      </w:r>
      <w:r w:rsidRPr="00F279A1">
        <w:rPr>
          <w:rFonts w:ascii="Times New Roman" w:hAnsi="Times New Roman"/>
          <w:b/>
          <w:bCs/>
          <w:sz w:val="22"/>
        </w:rPr>
        <w:t xml:space="preserve">it can be </w:t>
      </w:r>
      <w:r w:rsidR="00DD5623">
        <w:rPr>
          <w:rFonts w:ascii="Times New Roman" w:hAnsi="Times New Roman"/>
          <w:b/>
          <w:bCs/>
          <w:sz w:val="22"/>
        </w:rPr>
        <w:t xml:space="preserve">defined as </w:t>
      </w:r>
      <w:r w:rsidRPr="00F279A1">
        <w:rPr>
          <w:rFonts w:ascii="Times New Roman" w:hAnsi="Times New Roman"/>
          <w:b/>
          <w:bCs/>
          <w:sz w:val="22"/>
        </w:rPr>
        <w:t>the earliest starting time among all neighbor cells associated to the corresponding frequency/satellite.</w:t>
      </w:r>
    </w:p>
    <w:p w14:paraId="107BAF77" w14:textId="0F798E64" w:rsidR="00DD5623" w:rsidRDefault="00DD5623" w:rsidP="00DD5623">
      <w:pPr>
        <w:outlineLvl w:val="1"/>
        <w:rPr>
          <w:rFonts w:ascii="Times New Roman" w:hAnsi="Times New Roman"/>
          <w:sz w:val="22"/>
        </w:rPr>
      </w:pPr>
      <w:r w:rsidRPr="00DD5623">
        <w:rPr>
          <w:rFonts w:ascii="Times New Roman" w:hAnsi="Times New Roman" w:hint="eastAsia"/>
          <w:b/>
          <w:bCs/>
          <w:sz w:val="22"/>
          <w:u w:val="single"/>
        </w:rPr>
        <w:t>R</w:t>
      </w:r>
      <w:r w:rsidRPr="00DD5623">
        <w:rPr>
          <w:rFonts w:ascii="Times New Roman" w:hAnsi="Times New Roman"/>
          <w:b/>
          <w:bCs/>
          <w:sz w:val="22"/>
          <w:u w:val="single"/>
        </w:rPr>
        <w:t>eference location of the serving earth-moving cell</w:t>
      </w:r>
    </w:p>
    <w:p w14:paraId="51C93AEF" w14:textId="2C9CA53C" w:rsidR="00F279A1" w:rsidRDefault="00E30F89" w:rsidP="00C21B5F">
      <w:pPr>
        <w:rPr>
          <w:rFonts w:ascii="Times New Roman" w:hAnsi="Times New Roman"/>
          <w:sz w:val="22"/>
        </w:rPr>
      </w:pPr>
      <w:r>
        <w:rPr>
          <w:rFonts w:ascii="Times New Roman" w:hAnsi="Times New Roman" w:hint="eastAsia"/>
          <w:sz w:val="22"/>
        </w:rPr>
        <w:t>F</w:t>
      </w:r>
      <w:r>
        <w:rPr>
          <w:rFonts w:ascii="Times New Roman" w:hAnsi="Times New Roman"/>
          <w:sz w:val="22"/>
        </w:rPr>
        <w:t>or location/distance-based neighbor cell measurement triggering, it has been agreed to us</w:t>
      </w:r>
      <w:r w:rsidR="00B30B4A">
        <w:rPr>
          <w:rFonts w:ascii="Times New Roman" w:hAnsi="Times New Roman"/>
          <w:sz w:val="22"/>
        </w:rPr>
        <w:t>e</w:t>
      </w:r>
      <w:r>
        <w:rPr>
          <w:rFonts w:ascii="Times New Roman" w:hAnsi="Times New Roman"/>
          <w:sz w:val="22"/>
        </w:rPr>
        <w:t xml:space="preserve"> a reference location as well for the earth-moving cells and the remaining detail is whether to use an IE different from the </w:t>
      </w:r>
      <w:r w:rsidRPr="00E30F89">
        <w:rPr>
          <w:rFonts w:ascii="Times New Roman" w:hAnsi="Times New Roman"/>
          <w:i/>
          <w:iCs/>
          <w:sz w:val="22"/>
        </w:rPr>
        <w:t>referenceLocation</w:t>
      </w:r>
      <w:r>
        <w:rPr>
          <w:rFonts w:ascii="Times New Roman" w:hAnsi="Times New Roman"/>
          <w:sz w:val="22"/>
        </w:rPr>
        <w:t xml:space="preserve"> introduced in Rel-17 for quasi-earth-fixed cells. In our understanding although using the same IE is straight-forward, a potential issue is that how U</w:t>
      </w:r>
      <w:r w:rsidR="00340923">
        <w:rPr>
          <w:rFonts w:ascii="Times New Roman" w:hAnsi="Times New Roman"/>
          <w:sz w:val="22"/>
        </w:rPr>
        <w:t xml:space="preserve">E can differentiate between a quasi-earth-fixed cell and an earth-moving cell (in Rel-17 </w:t>
      </w:r>
      <w:r w:rsidR="00340923" w:rsidRPr="00E30F89">
        <w:rPr>
          <w:rFonts w:ascii="Times New Roman" w:hAnsi="Times New Roman"/>
          <w:i/>
          <w:iCs/>
          <w:sz w:val="22"/>
        </w:rPr>
        <w:t>referenceLocation</w:t>
      </w:r>
      <w:r w:rsidR="00340923">
        <w:rPr>
          <w:rFonts w:ascii="Times New Roman" w:hAnsi="Times New Roman"/>
          <w:sz w:val="22"/>
        </w:rPr>
        <w:t xml:space="preserve"> is configured only for quasi-earth-fixed cells), and as a </w:t>
      </w:r>
      <w:r w:rsidR="00340923">
        <w:rPr>
          <w:rFonts w:ascii="Times New Roman" w:hAnsi="Times New Roman"/>
          <w:sz w:val="22"/>
        </w:rPr>
        <w:lastRenderedPageBreak/>
        <w:t>result a cell type indication is needed causing more specification impact. On the contrary, introducing a different IE can achieve both functionalities of indicating cell type and the moving reference location.</w:t>
      </w:r>
    </w:p>
    <w:p w14:paraId="5FCC2A21" w14:textId="2F790BDF" w:rsidR="00C21B5F" w:rsidRPr="00340923" w:rsidRDefault="00C21B5F" w:rsidP="00C21B5F">
      <w:pPr>
        <w:rPr>
          <w:rFonts w:ascii="Times New Roman" w:hAnsi="Times New Roman"/>
          <w:b/>
          <w:bCs/>
          <w:sz w:val="22"/>
        </w:rPr>
      </w:pPr>
      <w:r w:rsidRPr="00340923">
        <w:rPr>
          <w:rFonts w:ascii="Times New Roman" w:hAnsi="Times New Roman"/>
          <w:b/>
          <w:bCs/>
          <w:sz w:val="22"/>
        </w:rPr>
        <w:t>Proposal 2: A separate reference location IE is used for moving cells and no cell type indication is needed.</w:t>
      </w:r>
    </w:p>
    <w:p w14:paraId="4E577097" w14:textId="07D05E90" w:rsidR="00DD5623" w:rsidRPr="00297A66" w:rsidRDefault="00DD5623" w:rsidP="00DD5623">
      <w:pPr>
        <w:outlineLvl w:val="1"/>
        <w:rPr>
          <w:rFonts w:ascii="Times New Roman" w:hAnsi="Times New Roman"/>
          <w:b/>
          <w:bCs/>
          <w:sz w:val="22"/>
          <w:u w:val="single"/>
        </w:rPr>
      </w:pPr>
      <w:r w:rsidRPr="00297A66">
        <w:rPr>
          <w:rFonts w:ascii="Times New Roman" w:hAnsi="Times New Roman" w:hint="eastAsia"/>
          <w:b/>
          <w:bCs/>
          <w:sz w:val="22"/>
          <w:u w:val="single"/>
        </w:rPr>
        <w:t>S</w:t>
      </w:r>
      <w:r w:rsidRPr="00297A66">
        <w:rPr>
          <w:rFonts w:ascii="Times New Roman" w:hAnsi="Times New Roman"/>
          <w:b/>
          <w:bCs/>
          <w:sz w:val="22"/>
          <w:u w:val="single"/>
        </w:rPr>
        <w:t xml:space="preserve">top serving time of the serving earth-moving </w:t>
      </w:r>
      <w:proofErr w:type="gramStart"/>
      <w:r w:rsidRPr="00297A66">
        <w:rPr>
          <w:rFonts w:ascii="Times New Roman" w:hAnsi="Times New Roman"/>
          <w:b/>
          <w:bCs/>
          <w:sz w:val="22"/>
          <w:u w:val="single"/>
        </w:rPr>
        <w:t>cell</w:t>
      </w:r>
      <w:proofErr w:type="gramEnd"/>
    </w:p>
    <w:p w14:paraId="35B2BA8F" w14:textId="74071256" w:rsidR="002C0192" w:rsidRDefault="00B30B4A" w:rsidP="00C21B5F">
      <w:pPr>
        <w:rPr>
          <w:rFonts w:ascii="Times New Roman" w:hAnsi="Times New Roman"/>
          <w:sz w:val="22"/>
        </w:rPr>
      </w:pPr>
      <w:r>
        <w:rPr>
          <w:rFonts w:ascii="Times New Roman" w:hAnsi="Times New Roman"/>
          <w:sz w:val="22"/>
        </w:rPr>
        <w:t xml:space="preserve">Similar issue was also discussed for time-based neighbor cell measurement triggering, </w:t>
      </w:r>
      <w:r w:rsidR="002C0192">
        <w:rPr>
          <w:rFonts w:ascii="Times New Roman" w:hAnsi="Times New Roman"/>
          <w:sz w:val="22"/>
        </w:rPr>
        <w:t>but the situation is a bit different. The reference location is the same concept for both quasi-earth-fixed cell and earth-moving cells, only that the reference location for</w:t>
      </w:r>
      <w:r w:rsidR="002C0192" w:rsidRPr="002C0192">
        <w:rPr>
          <w:rFonts w:ascii="Times New Roman" w:hAnsi="Times New Roman"/>
          <w:sz w:val="22"/>
        </w:rPr>
        <w:t xml:space="preserve"> </w:t>
      </w:r>
      <w:r w:rsidR="002C0192">
        <w:rPr>
          <w:rFonts w:ascii="Times New Roman" w:hAnsi="Times New Roman"/>
          <w:sz w:val="22"/>
        </w:rPr>
        <w:t xml:space="preserve">earth-moving cells is mobile, and UE needs to derive that actual reference location based on ephemeris. The </w:t>
      </w:r>
      <w:r w:rsidR="002C0192" w:rsidRPr="002C0192">
        <w:rPr>
          <w:rFonts w:ascii="Times New Roman" w:hAnsi="Times New Roman"/>
          <w:i/>
          <w:iCs/>
          <w:sz w:val="22"/>
        </w:rPr>
        <w:t>t-Service</w:t>
      </w:r>
      <w:r w:rsidR="002C0192">
        <w:rPr>
          <w:rFonts w:ascii="Times New Roman" w:hAnsi="Times New Roman"/>
          <w:sz w:val="22"/>
        </w:rPr>
        <w:t xml:space="preserve"> refers to the cell-specific stop serving time due to service link switch or feeder link switch in quasi-earth-fixed cells and the cell-specific stop serving time due to feeder link switch in earth-moving cells, respectively</w:t>
      </w:r>
      <w:r w:rsidR="00D12DD4">
        <w:rPr>
          <w:rFonts w:ascii="Times New Roman" w:hAnsi="Times New Roman"/>
          <w:sz w:val="22"/>
        </w:rPr>
        <w:t>, and the</w:t>
      </w:r>
      <w:r w:rsidR="002C0192">
        <w:rPr>
          <w:rFonts w:ascii="Times New Roman" w:hAnsi="Times New Roman"/>
          <w:sz w:val="22"/>
        </w:rPr>
        <w:t xml:space="preserve"> </w:t>
      </w:r>
      <w:r w:rsidR="00D12DD4">
        <w:rPr>
          <w:rFonts w:ascii="Times New Roman" w:hAnsi="Times New Roman"/>
          <w:sz w:val="22"/>
        </w:rPr>
        <w:t xml:space="preserve">UE behaviors in both cases are the same (i.e., trigger neighbour cell measurement before </w:t>
      </w:r>
      <w:r w:rsidR="00D12DD4" w:rsidRPr="00D12DD4">
        <w:rPr>
          <w:rFonts w:ascii="Times New Roman" w:hAnsi="Times New Roman"/>
          <w:i/>
          <w:iCs/>
          <w:sz w:val="22"/>
        </w:rPr>
        <w:t>t-Service</w:t>
      </w:r>
      <w:r w:rsidR="00D12DD4">
        <w:rPr>
          <w:rFonts w:ascii="Times New Roman" w:hAnsi="Times New Roman"/>
          <w:sz w:val="22"/>
        </w:rPr>
        <w:t xml:space="preserve">). Therefore, there is no need to </w:t>
      </w:r>
      <w:r w:rsidR="00D12DD4" w:rsidRPr="00C21B5F">
        <w:rPr>
          <w:rFonts w:ascii="Times New Roman" w:hAnsi="Times New Roman"/>
          <w:sz w:val="22"/>
        </w:rPr>
        <w:t xml:space="preserve">introduce a separate </w:t>
      </w:r>
      <w:r w:rsidR="00D12DD4">
        <w:rPr>
          <w:rFonts w:ascii="Times New Roman" w:hAnsi="Times New Roman"/>
          <w:sz w:val="22"/>
        </w:rPr>
        <w:t xml:space="preserve">cell stop serving time IE for earth-moving cells </w:t>
      </w:r>
      <w:r w:rsidR="00D12DD4" w:rsidRPr="00C21B5F">
        <w:rPr>
          <w:rFonts w:ascii="Times New Roman" w:hAnsi="Times New Roman"/>
          <w:sz w:val="22"/>
        </w:rPr>
        <w:t xml:space="preserve">apart from the </w:t>
      </w:r>
      <w:r w:rsidR="00D12DD4" w:rsidRPr="00D12DD4">
        <w:rPr>
          <w:rFonts w:ascii="Times New Roman" w:hAnsi="Times New Roman"/>
          <w:i/>
          <w:iCs/>
          <w:sz w:val="22"/>
        </w:rPr>
        <w:t>t-Service</w:t>
      </w:r>
      <w:r w:rsidR="00D12DD4">
        <w:rPr>
          <w:rFonts w:ascii="Times New Roman" w:hAnsi="Times New Roman"/>
          <w:sz w:val="22"/>
        </w:rPr>
        <w:t>.</w:t>
      </w:r>
    </w:p>
    <w:p w14:paraId="36792BB9" w14:textId="3024D211" w:rsidR="00C21B5F" w:rsidRPr="00D12DD4" w:rsidRDefault="00C21B5F" w:rsidP="00C21B5F">
      <w:pPr>
        <w:rPr>
          <w:rFonts w:ascii="Times New Roman" w:hAnsi="Times New Roman"/>
          <w:b/>
          <w:bCs/>
          <w:sz w:val="22"/>
        </w:rPr>
      </w:pPr>
      <w:r w:rsidRPr="00D12DD4">
        <w:rPr>
          <w:rFonts w:ascii="Times New Roman" w:hAnsi="Times New Roman"/>
          <w:b/>
          <w:bCs/>
          <w:sz w:val="22"/>
        </w:rPr>
        <w:t xml:space="preserve">Proposal 3: No need to introduce a separate </w:t>
      </w:r>
      <w:r w:rsidR="00D12DD4" w:rsidRPr="00D12DD4">
        <w:rPr>
          <w:rFonts w:ascii="Times New Roman" w:hAnsi="Times New Roman"/>
          <w:b/>
          <w:bCs/>
          <w:sz w:val="22"/>
        </w:rPr>
        <w:t xml:space="preserve">cell stop serving time IE apart from the </w:t>
      </w:r>
      <w:r w:rsidR="00D12DD4" w:rsidRPr="00D12DD4">
        <w:rPr>
          <w:rFonts w:ascii="Times New Roman" w:hAnsi="Times New Roman"/>
          <w:b/>
          <w:bCs/>
          <w:i/>
          <w:iCs/>
          <w:sz w:val="22"/>
        </w:rPr>
        <w:t>t-Service</w:t>
      </w:r>
      <w:r w:rsidR="00D12DD4" w:rsidRPr="00D12DD4">
        <w:rPr>
          <w:rFonts w:ascii="Times New Roman" w:hAnsi="Times New Roman"/>
          <w:b/>
          <w:bCs/>
          <w:sz w:val="22"/>
        </w:rPr>
        <w:t xml:space="preserve"> for earth-moving cells</w:t>
      </w:r>
      <w:r w:rsidRPr="00D12DD4">
        <w:rPr>
          <w:rFonts w:ascii="Times New Roman" w:hAnsi="Times New Roman"/>
          <w:b/>
          <w:bCs/>
          <w:sz w:val="22"/>
        </w:rPr>
        <w:t>.</w:t>
      </w:r>
    </w:p>
    <w:p w14:paraId="5E1370CB" w14:textId="2EE4A171" w:rsidR="00D12DD4" w:rsidRDefault="00297A66" w:rsidP="00297A66">
      <w:pPr>
        <w:outlineLvl w:val="1"/>
        <w:rPr>
          <w:rFonts w:ascii="Times New Roman" w:hAnsi="Times New Roman"/>
          <w:sz w:val="22"/>
        </w:rPr>
      </w:pPr>
      <w:r w:rsidRPr="00297A66">
        <w:rPr>
          <w:rFonts w:ascii="Times New Roman" w:hAnsi="Times New Roman" w:hint="eastAsia"/>
          <w:b/>
          <w:bCs/>
          <w:sz w:val="22"/>
          <w:u w:val="single"/>
        </w:rPr>
        <w:t>H</w:t>
      </w:r>
      <w:r w:rsidRPr="00297A66">
        <w:rPr>
          <w:rFonts w:ascii="Times New Roman" w:hAnsi="Times New Roman"/>
          <w:b/>
          <w:bCs/>
          <w:sz w:val="22"/>
          <w:u w:val="single"/>
        </w:rPr>
        <w:t xml:space="preserve">andling when </w:t>
      </w:r>
      <w:r>
        <w:rPr>
          <w:rFonts w:ascii="Times New Roman" w:hAnsi="Times New Roman"/>
          <w:b/>
          <w:bCs/>
          <w:sz w:val="22"/>
          <w:u w:val="single"/>
        </w:rPr>
        <w:t xml:space="preserve">specific </w:t>
      </w:r>
      <w:r w:rsidRPr="00297A66">
        <w:rPr>
          <w:rFonts w:ascii="Times New Roman" w:hAnsi="Times New Roman"/>
          <w:b/>
          <w:bCs/>
          <w:sz w:val="22"/>
          <w:u w:val="single"/>
        </w:rPr>
        <w:t xml:space="preserve">fields are </w:t>
      </w:r>
      <w:proofErr w:type="gramStart"/>
      <w:r w:rsidRPr="00297A66">
        <w:rPr>
          <w:rFonts w:ascii="Times New Roman" w:hAnsi="Times New Roman"/>
          <w:b/>
          <w:bCs/>
          <w:sz w:val="22"/>
          <w:u w:val="single"/>
        </w:rPr>
        <w:t>absent</w:t>
      </w:r>
      <w:proofErr w:type="gramEnd"/>
    </w:p>
    <w:p w14:paraId="3050C788" w14:textId="12E8BAE8" w:rsidR="00D12DD4" w:rsidRDefault="00297A66" w:rsidP="00C21B5F">
      <w:pPr>
        <w:rPr>
          <w:rFonts w:ascii="Times New Roman" w:hAnsi="Times New Roman"/>
          <w:sz w:val="22"/>
        </w:rPr>
      </w:pPr>
      <w:r>
        <w:rPr>
          <w:rFonts w:ascii="Times New Roman" w:hAnsi="Times New Roman"/>
          <w:sz w:val="22"/>
        </w:rPr>
        <w:t xml:space="preserve">For the new SIBxx introduced for neighbour cells, some further details about UE handling also remain to be specified, e.g., when some specific fields including </w:t>
      </w:r>
      <w:r w:rsidRPr="00C21B5F">
        <w:rPr>
          <w:rFonts w:ascii="Times New Roman" w:hAnsi="Times New Roman"/>
          <w:sz w:val="22"/>
        </w:rPr>
        <w:t xml:space="preserve">the </w:t>
      </w:r>
      <w:r>
        <w:rPr>
          <w:rFonts w:ascii="Times New Roman" w:hAnsi="Times New Roman"/>
          <w:sz w:val="22"/>
        </w:rPr>
        <w:t xml:space="preserve">satellite ID, the </w:t>
      </w:r>
      <w:r w:rsidRPr="00C21B5F">
        <w:rPr>
          <w:rFonts w:ascii="Times New Roman" w:hAnsi="Times New Roman"/>
          <w:sz w:val="22"/>
        </w:rPr>
        <w:t>list of frequenc</w:t>
      </w:r>
      <w:r>
        <w:rPr>
          <w:rFonts w:ascii="Times New Roman" w:hAnsi="Times New Roman"/>
          <w:sz w:val="22"/>
        </w:rPr>
        <w:t xml:space="preserve">ies or </w:t>
      </w:r>
      <w:r w:rsidRPr="00C21B5F">
        <w:rPr>
          <w:rFonts w:ascii="Times New Roman" w:hAnsi="Times New Roman"/>
          <w:sz w:val="22"/>
        </w:rPr>
        <w:t>cell</w:t>
      </w:r>
      <w:r>
        <w:rPr>
          <w:rFonts w:ascii="Times New Roman" w:hAnsi="Times New Roman"/>
          <w:sz w:val="22"/>
        </w:rPr>
        <w:t>s are absent. Considering the definition and functionality of the new SIBxx, it is reasonable to let UE reuse the same fields in SIB31 (of the serving cell) by default if absent in the new SIB, i.e., assuming that the corresponding fields are absent in case they have the same value for the serving and neighbour cells.</w:t>
      </w:r>
    </w:p>
    <w:p w14:paraId="2C31B9A1" w14:textId="13217A9E" w:rsidR="00C21B5F" w:rsidRPr="00E429EA" w:rsidRDefault="00C21B5F" w:rsidP="00C21B5F">
      <w:pPr>
        <w:rPr>
          <w:rFonts w:ascii="Times New Roman" w:hAnsi="Times New Roman"/>
          <w:b/>
          <w:bCs/>
          <w:sz w:val="22"/>
        </w:rPr>
      </w:pPr>
      <w:r w:rsidRPr="00E429EA">
        <w:rPr>
          <w:rFonts w:ascii="Times New Roman" w:hAnsi="Times New Roman"/>
          <w:b/>
          <w:bCs/>
          <w:sz w:val="22"/>
        </w:rPr>
        <w:t xml:space="preserve">Proposal </w:t>
      </w:r>
      <w:r w:rsidR="00297A66" w:rsidRPr="00E429EA">
        <w:rPr>
          <w:rFonts w:ascii="Times New Roman" w:hAnsi="Times New Roman"/>
          <w:b/>
          <w:bCs/>
          <w:sz w:val="22"/>
        </w:rPr>
        <w:t>4</w:t>
      </w:r>
      <w:r w:rsidRPr="00E429EA">
        <w:rPr>
          <w:rFonts w:ascii="Times New Roman" w:hAnsi="Times New Roman"/>
          <w:b/>
          <w:bCs/>
          <w:sz w:val="22"/>
        </w:rPr>
        <w:t>: When satellite ID is absent, UE considers a neighbour cell as belonging to the same satellite as the serving cell</w:t>
      </w:r>
      <w:r w:rsidR="00297A66" w:rsidRPr="00E429EA">
        <w:rPr>
          <w:rFonts w:ascii="Times New Roman" w:hAnsi="Times New Roman"/>
          <w:b/>
          <w:bCs/>
          <w:sz w:val="22"/>
        </w:rPr>
        <w:t xml:space="preserve"> (i.e., intra-satellite mobility)</w:t>
      </w:r>
      <w:r w:rsidRPr="00E429EA">
        <w:rPr>
          <w:rFonts w:ascii="Times New Roman" w:hAnsi="Times New Roman"/>
          <w:b/>
          <w:bCs/>
          <w:sz w:val="22"/>
        </w:rPr>
        <w:t>.</w:t>
      </w:r>
    </w:p>
    <w:p w14:paraId="4CF36800" w14:textId="785C6D82" w:rsidR="00297A66" w:rsidRPr="00E429EA" w:rsidRDefault="00297A66" w:rsidP="00297A66">
      <w:pPr>
        <w:rPr>
          <w:rFonts w:ascii="Times New Roman" w:hAnsi="Times New Roman"/>
          <w:b/>
          <w:bCs/>
          <w:sz w:val="22"/>
        </w:rPr>
      </w:pPr>
      <w:r w:rsidRPr="00E429EA">
        <w:rPr>
          <w:rFonts w:ascii="Times New Roman" w:hAnsi="Times New Roman"/>
          <w:b/>
          <w:bCs/>
          <w:sz w:val="22"/>
        </w:rPr>
        <w:t xml:space="preserve">Proposal </w:t>
      </w:r>
      <w:r w:rsidR="00E429EA" w:rsidRPr="00E429EA">
        <w:rPr>
          <w:rFonts w:ascii="Times New Roman" w:hAnsi="Times New Roman"/>
          <w:b/>
          <w:bCs/>
          <w:sz w:val="22"/>
        </w:rPr>
        <w:t>5</w:t>
      </w:r>
      <w:r w:rsidRPr="00E429EA">
        <w:rPr>
          <w:rFonts w:ascii="Times New Roman" w:hAnsi="Times New Roman"/>
          <w:b/>
          <w:bCs/>
          <w:sz w:val="22"/>
        </w:rPr>
        <w:t>: When the list of frequencies in new SIB is absent, UE considers a neighbour cell as using the same frequency as the serving cell (i.e., intra-frequency mobility).</w:t>
      </w:r>
    </w:p>
    <w:p w14:paraId="30E9958D" w14:textId="58AF4C46" w:rsidR="00297A66" w:rsidRPr="00E429EA" w:rsidRDefault="00297A66" w:rsidP="00297A66">
      <w:pPr>
        <w:rPr>
          <w:rFonts w:ascii="Times New Roman" w:hAnsi="Times New Roman"/>
          <w:b/>
          <w:bCs/>
          <w:sz w:val="22"/>
        </w:rPr>
      </w:pPr>
      <w:r w:rsidRPr="00E429EA">
        <w:rPr>
          <w:rFonts w:ascii="Times New Roman" w:hAnsi="Times New Roman"/>
          <w:b/>
          <w:bCs/>
          <w:sz w:val="22"/>
        </w:rPr>
        <w:t xml:space="preserve">Proposal </w:t>
      </w:r>
      <w:r w:rsidR="00E429EA" w:rsidRPr="00E429EA">
        <w:rPr>
          <w:rFonts w:ascii="Times New Roman" w:hAnsi="Times New Roman"/>
          <w:b/>
          <w:bCs/>
          <w:sz w:val="22"/>
        </w:rPr>
        <w:t>6</w:t>
      </w:r>
      <w:r w:rsidRPr="00E429EA">
        <w:rPr>
          <w:rFonts w:ascii="Times New Roman" w:hAnsi="Times New Roman"/>
          <w:b/>
          <w:bCs/>
          <w:sz w:val="22"/>
        </w:rPr>
        <w:t>: When the list of cells in new SIB is absent, UE considers a neighbour cell as using the same PCI as the serving cell</w:t>
      </w:r>
      <w:r w:rsidR="00E429EA" w:rsidRPr="00E429EA">
        <w:rPr>
          <w:rFonts w:ascii="Times New Roman" w:hAnsi="Times New Roman"/>
          <w:b/>
          <w:bCs/>
          <w:sz w:val="22"/>
        </w:rPr>
        <w:t xml:space="preserve"> (i.e., PCI unchanged case)</w:t>
      </w:r>
      <w:r w:rsidRPr="00E429EA">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1A48B91E" w:rsidR="00A90536" w:rsidRDefault="00886071" w:rsidP="005C389C">
      <w:pPr>
        <w:rPr>
          <w:rFonts w:ascii="Times New Roman" w:hAnsi="Times New Roman"/>
          <w:sz w:val="22"/>
        </w:rPr>
      </w:pPr>
      <w:r w:rsidRPr="00886071">
        <w:rPr>
          <w:rFonts w:ascii="Times New Roman" w:hAnsi="Times New Roman"/>
          <w:sz w:val="22"/>
        </w:rPr>
        <w:t xml:space="preserve">In this contribution we </w:t>
      </w:r>
      <w:r w:rsidR="005C389C" w:rsidRPr="005C389C">
        <w:rPr>
          <w:rFonts w:ascii="Times New Roman" w:hAnsi="Times New Roman"/>
          <w:sz w:val="22"/>
        </w:rPr>
        <w:t xml:space="preserve">discuss some remaining issues in </w:t>
      </w:r>
      <w:r w:rsidR="00E429EA">
        <w:rPr>
          <w:rFonts w:ascii="Times New Roman" w:hAnsi="Times New Roman"/>
          <w:sz w:val="22"/>
        </w:rPr>
        <w:t>mobility</w:t>
      </w:r>
      <w:r w:rsidR="005C389C" w:rsidRPr="005C389C">
        <w:rPr>
          <w:rFonts w:ascii="Times New Roman" w:hAnsi="Times New Roman"/>
          <w:sz w:val="22"/>
        </w:rPr>
        <w:t xml:space="preserve"> based on previous discussions and agreements</w:t>
      </w:r>
      <w:r w:rsidRPr="00886071">
        <w:rPr>
          <w:rFonts w:ascii="Times New Roman" w:hAnsi="Times New Roman"/>
          <w:sz w:val="22"/>
        </w:rPr>
        <w:t>.</w:t>
      </w:r>
      <w:r w:rsidR="00160536" w:rsidRPr="00EA11CC">
        <w:rPr>
          <w:rFonts w:ascii="Times New Roman" w:hAnsi="Times New Roman"/>
          <w:sz w:val="22"/>
        </w:rPr>
        <w:t xml:space="preserve"> </w:t>
      </w:r>
      <w:r w:rsidR="005C389C">
        <w:rPr>
          <w:rFonts w:ascii="Times New Roman" w:hAnsi="Times New Roman"/>
          <w:sz w:val="22"/>
        </w:rPr>
        <w:t>It is proposed that</w:t>
      </w:r>
      <w:r w:rsidR="00A90536" w:rsidRPr="00EA11CC">
        <w:rPr>
          <w:rFonts w:ascii="Times New Roman" w:hAnsi="Times New Roman"/>
          <w:sz w:val="22"/>
        </w:rPr>
        <w:t>:</w:t>
      </w:r>
    </w:p>
    <w:p w14:paraId="5BD5D89E" w14:textId="77777777" w:rsidR="00E429EA" w:rsidRPr="00F279A1" w:rsidRDefault="00E429EA" w:rsidP="00E429EA">
      <w:pPr>
        <w:rPr>
          <w:rFonts w:ascii="Times New Roman" w:hAnsi="Times New Roman"/>
          <w:b/>
          <w:bCs/>
          <w:sz w:val="22"/>
        </w:rPr>
      </w:pPr>
      <w:r w:rsidRPr="00F279A1">
        <w:rPr>
          <w:rFonts w:ascii="Times New Roman" w:hAnsi="Times New Roman"/>
          <w:b/>
          <w:bCs/>
          <w:sz w:val="22"/>
        </w:rPr>
        <w:t xml:space="preserve">Proposal 1a: </w:t>
      </w:r>
      <w:r w:rsidRPr="00F279A1">
        <w:rPr>
          <w:rFonts w:ascii="Times New Roman" w:hAnsi="Times New Roman"/>
          <w:b/>
          <w:bCs/>
          <w:i/>
          <w:iCs/>
          <w:sz w:val="22"/>
        </w:rPr>
        <w:t>t-ServiceStartNeigh</w:t>
      </w:r>
      <w:r w:rsidRPr="00F279A1">
        <w:rPr>
          <w:rFonts w:ascii="Times New Roman" w:hAnsi="Times New Roman"/>
          <w:b/>
          <w:bCs/>
          <w:sz w:val="22"/>
        </w:rPr>
        <w:t xml:space="preserve"> in SIBxx is per neighbour cell, and it is </w:t>
      </w:r>
      <w:r>
        <w:rPr>
          <w:rFonts w:ascii="Times New Roman" w:hAnsi="Times New Roman"/>
          <w:b/>
          <w:bCs/>
          <w:sz w:val="22"/>
        </w:rPr>
        <w:t xml:space="preserve">defined as </w:t>
      </w:r>
      <w:r w:rsidRPr="00F279A1">
        <w:rPr>
          <w:rFonts w:ascii="Times New Roman" w:hAnsi="Times New Roman"/>
          <w:b/>
          <w:bCs/>
          <w:sz w:val="22"/>
        </w:rPr>
        <w:t>the starting time of the corresponding neighbour cell.</w:t>
      </w:r>
    </w:p>
    <w:p w14:paraId="35E4186A" w14:textId="77777777" w:rsidR="00E429EA" w:rsidRPr="00F279A1" w:rsidRDefault="00E429EA" w:rsidP="00E429EA">
      <w:pPr>
        <w:rPr>
          <w:rFonts w:ascii="Times New Roman" w:hAnsi="Times New Roman"/>
          <w:b/>
          <w:bCs/>
          <w:sz w:val="22"/>
        </w:rPr>
      </w:pPr>
      <w:r w:rsidRPr="00F279A1">
        <w:rPr>
          <w:rFonts w:ascii="Times New Roman" w:hAnsi="Times New Roman"/>
          <w:b/>
          <w:bCs/>
          <w:sz w:val="22"/>
        </w:rPr>
        <w:t xml:space="preserve">Proposal 1b: </w:t>
      </w:r>
      <w:r w:rsidRPr="00F279A1">
        <w:rPr>
          <w:rFonts w:ascii="Times New Roman" w:hAnsi="Times New Roman"/>
          <w:b/>
          <w:bCs/>
          <w:i/>
          <w:iCs/>
          <w:sz w:val="22"/>
        </w:rPr>
        <w:t>t-ServiceStartNeigh</w:t>
      </w:r>
      <w:r w:rsidRPr="00F279A1">
        <w:rPr>
          <w:rFonts w:ascii="Times New Roman" w:hAnsi="Times New Roman"/>
          <w:b/>
          <w:bCs/>
          <w:sz w:val="22"/>
        </w:rPr>
        <w:t xml:space="preserve"> in SIBxx is per frequency/satellite, and it can be </w:t>
      </w:r>
      <w:r>
        <w:rPr>
          <w:rFonts w:ascii="Times New Roman" w:hAnsi="Times New Roman"/>
          <w:b/>
          <w:bCs/>
          <w:sz w:val="22"/>
        </w:rPr>
        <w:t xml:space="preserve">defined as </w:t>
      </w:r>
      <w:r w:rsidRPr="00F279A1">
        <w:rPr>
          <w:rFonts w:ascii="Times New Roman" w:hAnsi="Times New Roman"/>
          <w:b/>
          <w:bCs/>
          <w:sz w:val="22"/>
        </w:rPr>
        <w:t>the earliest starting time among all neighbor cells associated to the corresponding frequency/satellite.</w:t>
      </w:r>
    </w:p>
    <w:p w14:paraId="0A896D62" w14:textId="77777777" w:rsidR="00E429EA" w:rsidRPr="00340923" w:rsidRDefault="00E429EA" w:rsidP="00E429EA">
      <w:pPr>
        <w:rPr>
          <w:rFonts w:ascii="Times New Roman" w:hAnsi="Times New Roman"/>
          <w:b/>
          <w:bCs/>
          <w:sz w:val="22"/>
        </w:rPr>
      </w:pPr>
      <w:r w:rsidRPr="00340923">
        <w:rPr>
          <w:rFonts w:ascii="Times New Roman" w:hAnsi="Times New Roman"/>
          <w:b/>
          <w:bCs/>
          <w:sz w:val="22"/>
        </w:rPr>
        <w:t>Proposal 2: A separate reference location IE is used for moving cells and no cell type indication is needed.</w:t>
      </w:r>
    </w:p>
    <w:p w14:paraId="5535F808" w14:textId="77777777" w:rsidR="00E429EA" w:rsidRPr="00D12DD4" w:rsidRDefault="00E429EA" w:rsidP="00E429EA">
      <w:pPr>
        <w:rPr>
          <w:rFonts w:ascii="Times New Roman" w:hAnsi="Times New Roman"/>
          <w:b/>
          <w:bCs/>
          <w:sz w:val="22"/>
        </w:rPr>
      </w:pPr>
      <w:r w:rsidRPr="00D12DD4">
        <w:rPr>
          <w:rFonts w:ascii="Times New Roman" w:hAnsi="Times New Roman"/>
          <w:b/>
          <w:bCs/>
          <w:sz w:val="22"/>
        </w:rPr>
        <w:t xml:space="preserve">Proposal 3: No need to introduce a separate cell stop serving time IE apart from the </w:t>
      </w:r>
      <w:r w:rsidRPr="00D12DD4">
        <w:rPr>
          <w:rFonts w:ascii="Times New Roman" w:hAnsi="Times New Roman"/>
          <w:b/>
          <w:bCs/>
          <w:i/>
          <w:iCs/>
          <w:sz w:val="22"/>
        </w:rPr>
        <w:t>t-Service</w:t>
      </w:r>
      <w:r w:rsidRPr="00D12DD4">
        <w:rPr>
          <w:rFonts w:ascii="Times New Roman" w:hAnsi="Times New Roman"/>
          <w:b/>
          <w:bCs/>
          <w:sz w:val="22"/>
        </w:rPr>
        <w:t xml:space="preserve"> for earth-moving cells.</w:t>
      </w:r>
    </w:p>
    <w:p w14:paraId="127923ED" w14:textId="77777777" w:rsidR="00E429EA" w:rsidRPr="00E429EA" w:rsidRDefault="00E429EA" w:rsidP="00E429EA">
      <w:pPr>
        <w:rPr>
          <w:rFonts w:ascii="Times New Roman" w:hAnsi="Times New Roman"/>
          <w:b/>
          <w:bCs/>
          <w:sz w:val="22"/>
        </w:rPr>
      </w:pPr>
      <w:r w:rsidRPr="00E429EA">
        <w:rPr>
          <w:rFonts w:ascii="Times New Roman" w:hAnsi="Times New Roman"/>
          <w:b/>
          <w:bCs/>
          <w:sz w:val="22"/>
        </w:rPr>
        <w:t>Proposal 4: When satellite ID is absent, UE considers a neighbour cell as belonging to the same satellite as the serving cell (i.e., intra-satellite mobility).</w:t>
      </w:r>
    </w:p>
    <w:p w14:paraId="4C63E67B" w14:textId="77777777" w:rsidR="00E429EA" w:rsidRPr="00E429EA" w:rsidRDefault="00E429EA" w:rsidP="00E429EA">
      <w:pPr>
        <w:rPr>
          <w:rFonts w:ascii="Times New Roman" w:hAnsi="Times New Roman"/>
          <w:b/>
          <w:bCs/>
          <w:sz w:val="22"/>
        </w:rPr>
      </w:pPr>
      <w:r w:rsidRPr="00E429EA">
        <w:rPr>
          <w:rFonts w:ascii="Times New Roman" w:hAnsi="Times New Roman"/>
          <w:b/>
          <w:bCs/>
          <w:sz w:val="22"/>
        </w:rPr>
        <w:t>Proposal 5: When the list of frequencies in new SIB is absent, UE considers a neighbour cell as using the same frequency as the serving cell (i.e., intra-frequency mobility).</w:t>
      </w:r>
    </w:p>
    <w:p w14:paraId="18478002" w14:textId="7065B919" w:rsidR="005C389C" w:rsidRPr="00E429EA" w:rsidRDefault="00E429EA" w:rsidP="00E429EA">
      <w:pPr>
        <w:rPr>
          <w:rFonts w:ascii="Times New Roman" w:hAnsi="Times New Roman"/>
          <w:b/>
          <w:bCs/>
          <w:sz w:val="22"/>
        </w:rPr>
      </w:pPr>
      <w:r w:rsidRPr="00E429EA">
        <w:rPr>
          <w:rFonts w:ascii="Times New Roman" w:hAnsi="Times New Roman"/>
          <w:b/>
          <w:bCs/>
          <w:sz w:val="22"/>
        </w:rPr>
        <w:t>Proposal 6: When the list of cells in new SIB is absent, UE considers a neighbour cell as using the same PCI as the serving cell (i.e., PCI unchanged case).</w:t>
      </w:r>
    </w:p>
    <w:sectPr w:rsidR="005C389C" w:rsidRPr="00E429E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AF5F1" w14:textId="77777777" w:rsidR="00C5280A" w:rsidRDefault="00C5280A">
      <w:r>
        <w:separator/>
      </w:r>
    </w:p>
  </w:endnote>
  <w:endnote w:type="continuationSeparator" w:id="0">
    <w:p w14:paraId="64A2C8EB" w14:textId="77777777" w:rsidR="00C5280A" w:rsidRDefault="00C52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878F7" w14:textId="77777777" w:rsidR="00C5280A" w:rsidRDefault="00C5280A">
      <w:r>
        <w:separator/>
      </w:r>
    </w:p>
  </w:footnote>
  <w:footnote w:type="continuationSeparator" w:id="0">
    <w:p w14:paraId="4534C8EC" w14:textId="77777777" w:rsidR="00C5280A" w:rsidRDefault="00C528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2"/>
  </w:num>
  <w:num w:numId="2" w16cid:durableId="1984658315">
    <w:abstractNumId w:val="2"/>
  </w:num>
  <w:num w:numId="3" w16cid:durableId="722876610">
    <w:abstractNumId w:val="24"/>
  </w:num>
  <w:num w:numId="4" w16cid:durableId="859195836">
    <w:abstractNumId w:val="23"/>
  </w:num>
  <w:num w:numId="5" w16cid:durableId="220140937">
    <w:abstractNumId w:val="10"/>
  </w:num>
  <w:num w:numId="6" w16cid:durableId="1734040883">
    <w:abstractNumId w:val="21"/>
  </w:num>
  <w:num w:numId="7" w16cid:durableId="2045521902">
    <w:abstractNumId w:val="6"/>
  </w:num>
  <w:num w:numId="8" w16cid:durableId="163935166">
    <w:abstractNumId w:val="13"/>
  </w:num>
  <w:num w:numId="9" w16cid:durableId="1679574324">
    <w:abstractNumId w:val="5"/>
  </w:num>
  <w:num w:numId="10" w16cid:durableId="75370074">
    <w:abstractNumId w:val="14"/>
  </w:num>
  <w:num w:numId="11" w16cid:durableId="1796754296">
    <w:abstractNumId w:val="3"/>
  </w:num>
  <w:num w:numId="12" w16cid:durableId="384646512">
    <w:abstractNumId w:val="12"/>
  </w:num>
  <w:num w:numId="13" w16cid:durableId="1573813467">
    <w:abstractNumId w:val="16"/>
  </w:num>
  <w:num w:numId="14" w16cid:durableId="1493519478">
    <w:abstractNumId w:val="7"/>
  </w:num>
  <w:num w:numId="15" w16cid:durableId="127743599">
    <w:abstractNumId w:val="25"/>
  </w:num>
  <w:num w:numId="16" w16cid:durableId="1895191140">
    <w:abstractNumId w:val="26"/>
  </w:num>
  <w:num w:numId="17" w16cid:durableId="828903070">
    <w:abstractNumId w:val="1"/>
  </w:num>
  <w:num w:numId="18" w16cid:durableId="1821799038">
    <w:abstractNumId w:val="8"/>
  </w:num>
  <w:num w:numId="19" w16cid:durableId="985160454">
    <w:abstractNumId w:val="15"/>
  </w:num>
  <w:num w:numId="20" w16cid:durableId="1390036946">
    <w:abstractNumId w:val="0"/>
  </w:num>
  <w:num w:numId="21" w16cid:durableId="381757924">
    <w:abstractNumId w:val="19"/>
  </w:num>
  <w:num w:numId="22" w16cid:durableId="1834640208">
    <w:abstractNumId w:val="4"/>
  </w:num>
  <w:num w:numId="23" w16cid:durableId="303239897">
    <w:abstractNumId w:val="11"/>
  </w:num>
  <w:num w:numId="24" w16cid:durableId="1178815800">
    <w:abstractNumId w:val="9"/>
  </w:num>
  <w:num w:numId="25" w16cid:durableId="1387993154">
    <w:abstractNumId w:val="18"/>
  </w:num>
  <w:num w:numId="26" w16cid:durableId="940138824">
    <w:abstractNumId w:val="20"/>
  </w:num>
  <w:num w:numId="27" w16cid:durableId="871189877">
    <w:abstractNumId w:val="17"/>
  </w:num>
  <w:num w:numId="28" w16cid:durableId="41859607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136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6DE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80A"/>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1BB"/>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6737</TotalTime>
  <Pages>2</Pages>
  <Words>983</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160</cp:revision>
  <cp:lastPrinted>2012-10-30T00:20:00Z</cp:lastPrinted>
  <dcterms:created xsi:type="dcterms:W3CDTF">2020-08-03T07:44:00Z</dcterms:created>
  <dcterms:modified xsi:type="dcterms:W3CDTF">2023-09-27T09:36:00Z</dcterms:modified>
</cp:coreProperties>
</file>